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DF4" w:rsidRPr="00563E4D" w:rsidRDefault="00EA1DF4" w:rsidP="00EA1DF4">
      <w:pPr>
        <w:pStyle w:val="Title"/>
      </w:pPr>
      <w:r w:rsidRPr="00563E4D">
        <w:t>BICYCLE/PEDESTRIAN ADVISORY COMMITTEE MEETING</w:t>
      </w:r>
    </w:p>
    <w:p w:rsidR="00EA1DF4" w:rsidRPr="00563E4D" w:rsidRDefault="00EA1DF4" w:rsidP="00EA1DF4">
      <w:pPr>
        <w:jc w:val="center"/>
        <w:rPr>
          <w:b/>
          <w:bCs/>
          <w:u w:val="single"/>
        </w:rPr>
      </w:pPr>
    </w:p>
    <w:p w:rsidR="00EA1DF4" w:rsidRPr="00563E4D" w:rsidRDefault="00EA1DF4" w:rsidP="00EA1DF4">
      <w:pPr>
        <w:pStyle w:val="Subtitle"/>
      </w:pPr>
      <w:r w:rsidRPr="00563E4D">
        <w:t>CHARLOTTE COUNTY-PUNTA GORDA</w:t>
      </w:r>
    </w:p>
    <w:p w:rsidR="00EA1DF4" w:rsidRPr="00563E4D" w:rsidRDefault="00EA1DF4" w:rsidP="00EA1DF4">
      <w:pPr>
        <w:jc w:val="center"/>
        <w:rPr>
          <w:b/>
          <w:bCs/>
        </w:rPr>
      </w:pPr>
      <w:r w:rsidRPr="00563E4D">
        <w:rPr>
          <w:b/>
          <w:bCs/>
        </w:rPr>
        <w:t>METROPOLITAN PLANNING ORGANIZATION</w:t>
      </w:r>
    </w:p>
    <w:p w:rsidR="00EA1DF4" w:rsidRPr="00563E4D" w:rsidRDefault="00EA1DF4" w:rsidP="00EA1DF4">
      <w:pPr>
        <w:jc w:val="center"/>
      </w:pPr>
      <w:r w:rsidRPr="00563E4D">
        <w:t>Tel: (941) 883-3535</w:t>
      </w:r>
    </w:p>
    <w:p w:rsidR="00EA1DF4" w:rsidRPr="00563E4D" w:rsidRDefault="00EA1DF4" w:rsidP="00EA1DF4">
      <w:pPr>
        <w:jc w:val="center"/>
      </w:pPr>
    </w:p>
    <w:p w:rsidR="00EA1DF4" w:rsidRPr="00563E4D" w:rsidRDefault="00EA1DF4" w:rsidP="00EA1DF4">
      <w:pPr>
        <w:pStyle w:val="Heading1"/>
        <w:rPr>
          <w:u w:val="single"/>
        </w:rPr>
      </w:pPr>
      <w:r w:rsidRPr="00563E4D">
        <w:rPr>
          <w:u w:val="single"/>
        </w:rPr>
        <w:t>AGENDA</w:t>
      </w:r>
    </w:p>
    <w:p w:rsidR="00EA1DF4" w:rsidRPr="00563E4D" w:rsidRDefault="00EA1DF4" w:rsidP="00EA1DF4">
      <w:pPr>
        <w:jc w:val="center"/>
        <w:rPr>
          <w:b/>
          <w:bCs/>
        </w:rPr>
      </w:pPr>
    </w:p>
    <w:p w:rsidR="00EA1DF4" w:rsidRPr="00563E4D" w:rsidRDefault="00EA1DF4" w:rsidP="00EA1DF4">
      <w:pPr>
        <w:jc w:val="center"/>
      </w:pPr>
      <w:r>
        <w:rPr>
          <w:b/>
          <w:bCs/>
        </w:rPr>
        <w:t>2</w:t>
      </w:r>
      <w:r w:rsidRPr="003038FC">
        <w:rPr>
          <w:b/>
          <w:bCs/>
        </w:rPr>
        <w:t>:00 p.m., Thursday, October 1</w:t>
      </w:r>
      <w:r>
        <w:rPr>
          <w:b/>
          <w:bCs/>
        </w:rPr>
        <w:t>7</w:t>
      </w:r>
      <w:r w:rsidRPr="003038FC">
        <w:rPr>
          <w:b/>
          <w:bCs/>
        </w:rPr>
        <w:t>, 201</w:t>
      </w:r>
      <w:r>
        <w:rPr>
          <w:b/>
          <w:bCs/>
        </w:rPr>
        <w:t>9</w:t>
      </w:r>
    </w:p>
    <w:p w:rsidR="00EA1DF4" w:rsidRPr="00563E4D" w:rsidRDefault="00EA1DF4" w:rsidP="00EA1DF4">
      <w:pPr>
        <w:jc w:val="center"/>
      </w:pPr>
      <w:r w:rsidRPr="00563E4D">
        <w:t>Cultural Center of Charlotte County</w:t>
      </w:r>
    </w:p>
    <w:p w:rsidR="00EA1DF4" w:rsidRPr="00563E4D" w:rsidRDefault="00EA1DF4" w:rsidP="00EA1DF4">
      <w:pPr>
        <w:jc w:val="center"/>
      </w:pPr>
      <w:r w:rsidRPr="00563E4D">
        <w:t>2280 Aaron St.</w:t>
      </w:r>
    </w:p>
    <w:p w:rsidR="00EA1DF4" w:rsidRPr="00563E4D" w:rsidRDefault="00EA1DF4" w:rsidP="00EA1DF4">
      <w:pPr>
        <w:jc w:val="center"/>
      </w:pPr>
      <w:r w:rsidRPr="00563E4D">
        <w:t>Port Charlotte, Florida</w:t>
      </w:r>
    </w:p>
    <w:p w:rsidR="00EA1DF4" w:rsidRPr="00563E4D" w:rsidRDefault="00EA1DF4" w:rsidP="00EA1DF4">
      <w:pPr>
        <w:rPr>
          <w:b/>
          <w:bCs/>
        </w:rPr>
      </w:pPr>
    </w:p>
    <w:p w:rsidR="00EA1DF4" w:rsidRDefault="00EA1DF4" w:rsidP="00EA1DF4">
      <w:pPr>
        <w:numPr>
          <w:ilvl w:val="0"/>
          <w:numId w:val="1"/>
        </w:numPr>
        <w:tabs>
          <w:tab w:val="clear" w:pos="1080"/>
          <w:tab w:val="num" w:pos="720"/>
        </w:tabs>
        <w:ind w:hanging="1080"/>
        <w:rPr>
          <w:b/>
          <w:bCs/>
        </w:rPr>
      </w:pPr>
      <w:r>
        <w:rPr>
          <w:b/>
          <w:bCs/>
        </w:rPr>
        <w:t>Call to Order &amp; Roll Call</w:t>
      </w:r>
    </w:p>
    <w:p w:rsidR="00EA1DF4" w:rsidRDefault="00EA1DF4" w:rsidP="00EA1DF4">
      <w:pPr>
        <w:rPr>
          <w:b/>
          <w:bCs/>
        </w:rPr>
      </w:pPr>
    </w:p>
    <w:p w:rsidR="00EA1DF4" w:rsidRDefault="00EA1DF4" w:rsidP="00EA1DF4">
      <w:pPr>
        <w:numPr>
          <w:ilvl w:val="0"/>
          <w:numId w:val="1"/>
        </w:numPr>
        <w:tabs>
          <w:tab w:val="clear" w:pos="1080"/>
          <w:tab w:val="num" w:pos="720"/>
        </w:tabs>
        <w:ind w:hanging="1080"/>
        <w:rPr>
          <w:b/>
          <w:bCs/>
        </w:rPr>
      </w:pPr>
      <w:r>
        <w:rPr>
          <w:b/>
          <w:bCs/>
        </w:rPr>
        <w:t>Public Comments on Agenda Items</w:t>
      </w:r>
    </w:p>
    <w:p w:rsidR="00EA1DF4" w:rsidRDefault="00EA1DF4" w:rsidP="00EA1DF4">
      <w:pPr>
        <w:tabs>
          <w:tab w:val="num" w:pos="720"/>
        </w:tabs>
        <w:rPr>
          <w:b/>
          <w:bCs/>
        </w:rPr>
      </w:pPr>
    </w:p>
    <w:p w:rsidR="00EA1DF4" w:rsidRDefault="00EA1DF4" w:rsidP="00EA1DF4">
      <w:pPr>
        <w:numPr>
          <w:ilvl w:val="0"/>
          <w:numId w:val="1"/>
        </w:numPr>
        <w:tabs>
          <w:tab w:val="clear" w:pos="1080"/>
          <w:tab w:val="num" w:pos="720"/>
        </w:tabs>
        <w:ind w:hanging="1080"/>
        <w:rPr>
          <w:b/>
          <w:bCs/>
        </w:rPr>
      </w:pPr>
      <w:r>
        <w:rPr>
          <w:b/>
          <w:bCs/>
        </w:rPr>
        <w:t>Chair’s Report</w:t>
      </w:r>
    </w:p>
    <w:p w:rsidR="00EA1DF4" w:rsidRDefault="00EA1DF4" w:rsidP="00EA1DF4">
      <w:pPr>
        <w:pStyle w:val="ListParagraph"/>
        <w:rPr>
          <w:b/>
          <w:bCs/>
        </w:rPr>
      </w:pPr>
    </w:p>
    <w:p w:rsidR="00EA1DF4" w:rsidRDefault="00EA1DF4" w:rsidP="00EA1DF4">
      <w:pPr>
        <w:numPr>
          <w:ilvl w:val="0"/>
          <w:numId w:val="1"/>
        </w:numPr>
        <w:tabs>
          <w:tab w:val="clear" w:pos="1080"/>
          <w:tab w:val="num" w:pos="720"/>
        </w:tabs>
        <w:ind w:left="720"/>
        <w:rPr>
          <w:b/>
          <w:bCs/>
        </w:rPr>
      </w:pPr>
      <w:r>
        <w:rPr>
          <w:b/>
          <w:bCs/>
        </w:rPr>
        <w:t>Consent Agenda</w:t>
      </w:r>
    </w:p>
    <w:p w:rsidR="00EA1DF4" w:rsidRDefault="00A430CE" w:rsidP="00EA1DF4">
      <w:pPr>
        <w:numPr>
          <w:ilvl w:val="0"/>
          <w:numId w:val="2"/>
        </w:numPr>
        <w:rPr>
          <w:b/>
          <w:bCs/>
        </w:rPr>
      </w:pPr>
      <w:hyperlink r:id="rId5" w:history="1">
        <w:r w:rsidR="00EA1DF4" w:rsidRPr="00A430CE">
          <w:rPr>
            <w:rStyle w:val="Hyperlink"/>
            <w:b/>
            <w:bCs/>
          </w:rPr>
          <w:t>Approval of Minutes: June 13, 2019 Meeting</w:t>
        </w:r>
      </w:hyperlink>
    </w:p>
    <w:p w:rsidR="00EA1DF4" w:rsidRDefault="00A430CE" w:rsidP="00EA1DF4">
      <w:pPr>
        <w:numPr>
          <w:ilvl w:val="0"/>
          <w:numId w:val="2"/>
        </w:numPr>
        <w:rPr>
          <w:b/>
          <w:bCs/>
        </w:rPr>
      </w:pPr>
      <w:hyperlink r:id="rId6" w:history="1">
        <w:r w:rsidR="00EA1DF4" w:rsidRPr="00A430CE">
          <w:rPr>
            <w:rStyle w:val="Hyperlink"/>
            <w:b/>
            <w:bCs/>
          </w:rPr>
          <w:t>BPAC Meeting Schedule for Calendar Year 2020</w:t>
        </w:r>
      </w:hyperlink>
    </w:p>
    <w:p w:rsidR="00EA1DF4" w:rsidRDefault="00EA1DF4" w:rsidP="00EA1DF4">
      <w:pPr>
        <w:ind w:left="720"/>
        <w:rPr>
          <w:b/>
          <w:bCs/>
        </w:rPr>
      </w:pPr>
    </w:p>
    <w:p w:rsidR="00EA1DF4" w:rsidRPr="002C467D" w:rsidRDefault="00EA1DF4" w:rsidP="00EA1DF4">
      <w:pPr>
        <w:rPr>
          <w:b/>
          <w:bCs/>
        </w:rPr>
      </w:pPr>
      <w:r>
        <w:rPr>
          <w:b/>
          <w:bCs/>
        </w:rPr>
        <w:t>5.</w:t>
      </w:r>
      <w:r>
        <w:rPr>
          <w:b/>
          <w:bCs/>
        </w:rPr>
        <w:tab/>
      </w:r>
      <w:hyperlink r:id="rId7" w:history="1">
        <w:r w:rsidRPr="00A430CE">
          <w:rPr>
            <w:rStyle w:val="Hyperlink"/>
            <w:b/>
            <w:bCs/>
          </w:rPr>
          <w:t>SUN Trail Realignment</w:t>
        </w:r>
      </w:hyperlink>
    </w:p>
    <w:p w:rsidR="00EA1DF4" w:rsidRDefault="00EA1DF4" w:rsidP="00EA1DF4">
      <w:pPr>
        <w:pStyle w:val="ListParagraph"/>
        <w:ind w:left="1080"/>
        <w:rPr>
          <w:b/>
          <w:bCs/>
        </w:rPr>
      </w:pPr>
    </w:p>
    <w:p w:rsidR="00EA1DF4" w:rsidRPr="00DE0F9F" w:rsidRDefault="00EA1DF4" w:rsidP="00EA1DF4">
      <w:pPr>
        <w:rPr>
          <w:b/>
          <w:bCs/>
          <w:color w:val="FF0000"/>
        </w:rPr>
      </w:pPr>
      <w:r>
        <w:rPr>
          <w:b/>
          <w:bCs/>
        </w:rPr>
        <w:t>6.</w:t>
      </w:r>
      <w:r>
        <w:rPr>
          <w:b/>
          <w:bCs/>
        </w:rPr>
        <w:tab/>
      </w:r>
      <w:hyperlink r:id="rId8" w:history="1">
        <w:r w:rsidRPr="00A430CE">
          <w:rPr>
            <w:rStyle w:val="Hyperlink"/>
            <w:b/>
            <w:bCs/>
          </w:rPr>
          <w:t>Long Range Transportation Plan (LRTP) Status Report</w:t>
        </w:r>
      </w:hyperlink>
      <w:r w:rsidRPr="00DE0F9F">
        <w:rPr>
          <w:b/>
          <w:bCs/>
          <w:color w:val="FF0000"/>
        </w:rPr>
        <w:t xml:space="preserve"> </w:t>
      </w:r>
    </w:p>
    <w:p w:rsidR="00EA1DF4" w:rsidRPr="00291A68" w:rsidRDefault="00EA1DF4" w:rsidP="00EA1DF4">
      <w:pPr>
        <w:rPr>
          <w:b/>
          <w:bCs/>
        </w:rPr>
      </w:pPr>
    </w:p>
    <w:p w:rsidR="00EA1DF4" w:rsidRPr="006234FE" w:rsidRDefault="00EA1DF4" w:rsidP="00EA1DF4">
      <w:pPr>
        <w:rPr>
          <w:b/>
          <w:bCs/>
        </w:rPr>
      </w:pPr>
      <w:r>
        <w:rPr>
          <w:b/>
          <w:bCs/>
        </w:rPr>
        <w:t>7.</w:t>
      </w:r>
      <w:r>
        <w:rPr>
          <w:b/>
          <w:bCs/>
        </w:rPr>
        <w:tab/>
      </w:r>
      <w:hyperlink r:id="rId9" w:history="1">
        <w:r w:rsidRPr="00A430CE">
          <w:rPr>
            <w:rStyle w:val="Hyperlink"/>
            <w:b/>
            <w:bCs/>
          </w:rPr>
          <w:t>FDOT Bicycle/Pedestrian Coordinator Report</w:t>
        </w:r>
      </w:hyperlink>
      <w:r>
        <w:rPr>
          <w:b/>
          <w:bCs/>
        </w:rPr>
        <w:t xml:space="preserve"> </w:t>
      </w:r>
    </w:p>
    <w:p w:rsidR="00EA1DF4" w:rsidRPr="006234FE" w:rsidRDefault="00EA1DF4" w:rsidP="00EA1DF4">
      <w:pPr>
        <w:tabs>
          <w:tab w:val="num" w:pos="720"/>
        </w:tabs>
        <w:ind w:left="720" w:hanging="720"/>
        <w:rPr>
          <w:b/>
          <w:bCs/>
        </w:rPr>
      </w:pPr>
    </w:p>
    <w:p w:rsidR="00EA1DF4" w:rsidRDefault="00EA1DF4" w:rsidP="00EA1DF4">
      <w:pPr>
        <w:rPr>
          <w:b/>
          <w:bCs/>
        </w:rPr>
      </w:pPr>
      <w:r>
        <w:rPr>
          <w:b/>
          <w:bCs/>
        </w:rPr>
        <w:t>8.</w:t>
      </w:r>
      <w:r>
        <w:rPr>
          <w:b/>
          <w:bCs/>
        </w:rPr>
        <w:tab/>
      </w:r>
      <w:hyperlink r:id="rId10" w:history="1">
        <w:r w:rsidRPr="00A430CE">
          <w:rPr>
            <w:rStyle w:val="Hyperlink"/>
            <w:b/>
            <w:bCs/>
          </w:rPr>
          <w:t>Charlotte County Report</w:t>
        </w:r>
      </w:hyperlink>
    </w:p>
    <w:p w:rsidR="00EA1DF4" w:rsidRDefault="00EA1DF4" w:rsidP="00EA1DF4">
      <w:pPr>
        <w:ind w:left="1080"/>
        <w:rPr>
          <w:b/>
          <w:bCs/>
        </w:rPr>
      </w:pPr>
    </w:p>
    <w:p w:rsidR="00EA1DF4" w:rsidRPr="006234FE" w:rsidRDefault="00EA1DF4" w:rsidP="00EA1DF4">
      <w:pPr>
        <w:rPr>
          <w:b/>
          <w:bCs/>
        </w:rPr>
      </w:pPr>
      <w:r>
        <w:rPr>
          <w:b/>
          <w:bCs/>
        </w:rPr>
        <w:t xml:space="preserve">9. </w:t>
      </w:r>
      <w:r>
        <w:rPr>
          <w:b/>
          <w:bCs/>
        </w:rPr>
        <w:tab/>
      </w:r>
      <w:hyperlink r:id="rId11" w:history="1">
        <w:r w:rsidRPr="00A430CE">
          <w:rPr>
            <w:rStyle w:val="Hyperlink"/>
            <w:b/>
            <w:bCs/>
          </w:rPr>
          <w:t xml:space="preserve">City of Punta </w:t>
        </w:r>
        <w:proofErr w:type="spellStart"/>
        <w:r w:rsidRPr="00A430CE">
          <w:rPr>
            <w:rStyle w:val="Hyperlink"/>
            <w:b/>
            <w:bCs/>
          </w:rPr>
          <w:t>Gorda</w:t>
        </w:r>
        <w:proofErr w:type="spellEnd"/>
        <w:r w:rsidRPr="00A430CE">
          <w:rPr>
            <w:rStyle w:val="Hyperlink"/>
            <w:b/>
            <w:bCs/>
          </w:rPr>
          <w:t xml:space="preserve"> Report</w:t>
        </w:r>
      </w:hyperlink>
    </w:p>
    <w:p w:rsidR="00EA1DF4" w:rsidRDefault="00EA1DF4" w:rsidP="00EA1DF4">
      <w:pPr>
        <w:tabs>
          <w:tab w:val="num" w:pos="720"/>
        </w:tabs>
        <w:ind w:left="360" w:hanging="360"/>
        <w:rPr>
          <w:b/>
          <w:bCs/>
        </w:rPr>
      </w:pPr>
    </w:p>
    <w:p w:rsidR="00EA1DF4" w:rsidRDefault="00EA1DF4" w:rsidP="00EA1DF4">
      <w:pPr>
        <w:rPr>
          <w:b/>
          <w:bCs/>
        </w:rPr>
      </w:pPr>
      <w:r>
        <w:rPr>
          <w:b/>
          <w:bCs/>
        </w:rPr>
        <w:t xml:space="preserve">10. </w:t>
      </w:r>
      <w:r>
        <w:rPr>
          <w:b/>
          <w:bCs/>
        </w:rPr>
        <w:tab/>
      </w:r>
      <w:hyperlink r:id="rId12" w:history="1">
        <w:r w:rsidRPr="00A430CE">
          <w:rPr>
            <w:rStyle w:val="Hyperlink"/>
            <w:b/>
            <w:bCs/>
          </w:rPr>
          <w:t>Sheriff</w:t>
        </w:r>
        <w:r w:rsidR="00AB1F88" w:rsidRPr="00A430CE">
          <w:rPr>
            <w:rStyle w:val="Hyperlink"/>
            <w:b/>
            <w:bCs/>
          </w:rPr>
          <w:t>’</w:t>
        </w:r>
        <w:r w:rsidRPr="00A430CE">
          <w:rPr>
            <w:rStyle w:val="Hyperlink"/>
            <w:b/>
            <w:bCs/>
          </w:rPr>
          <w:t>s Office Report-Public Safety</w:t>
        </w:r>
      </w:hyperlink>
    </w:p>
    <w:p w:rsidR="00EA1DF4" w:rsidRDefault="00EA1DF4" w:rsidP="00EA1DF4">
      <w:pPr>
        <w:tabs>
          <w:tab w:val="num" w:pos="720"/>
        </w:tabs>
        <w:ind w:left="360" w:hanging="360"/>
        <w:rPr>
          <w:b/>
          <w:bCs/>
        </w:rPr>
      </w:pPr>
      <w:bookmarkStart w:id="0" w:name="_GoBack"/>
      <w:bookmarkEnd w:id="0"/>
    </w:p>
    <w:p w:rsidR="00EA1DF4" w:rsidRPr="006234FE" w:rsidRDefault="00EA1DF4" w:rsidP="00EA1DF4">
      <w:pPr>
        <w:rPr>
          <w:b/>
          <w:bCs/>
        </w:rPr>
      </w:pPr>
      <w:r>
        <w:rPr>
          <w:b/>
          <w:bCs/>
        </w:rPr>
        <w:t>11.</w:t>
      </w:r>
      <w:r>
        <w:rPr>
          <w:b/>
          <w:bCs/>
        </w:rPr>
        <w:tab/>
      </w:r>
      <w:r w:rsidRPr="006234FE">
        <w:rPr>
          <w:b/>
          <w:bCs/>
        </w:rPr>
        <w:t xml:space="preserve">Citizen Input </w:t>
      </w:r>
    </w:p>
    <w:p w:rsidR="00EA1DF4" w:rsidRPr="006234FE" w:rsidRDefault="00EA1DF4" w:rsidP="00EA1DF4">
      <w:pPr>
        <w:tabs>
          <w:tab w:val="num" w:pos="720"/>
        </w:tabs>
        <w:rPr>
          <w:b/>
          <w:bCs/>
        </w:rPr>
      </w:pPr>
    </w:p>
    <w:p w:rsidR="00EA1DF4" w:rsidRPr="006234FE" w:rsidRDefault="00EA1DF4" w:rsidP="00EA1DF4">
      <w:pPr>
        <w:rPr>
          <w:b/>
          <w:bCs/>
        </w:rPr>
      </w:pPr>
      <w:r>
        <w:rPr>
          <w:b/>
          <w:bCs/>
        </w:rPr>
        <w:t>12.</w:t>
      </w:r>
      <w:r>
        <w:rPr>
          <w:b/>
          <w:bCs/>
        </w:rPr>
        <w:tab/>
      </w:r>
      <w:r w:rsidRPr="006234FE">
        <w:rPr>
          <w:b/>
          <w:bCs/>
        </w:rPr>
        <w:t>Staff Comments</w:t>
      </w:r>
      <w:r>
        <w:rPr>
          <w:b/>
          <w:bCs/>
        </w:rPr>
        <w:t xml:space="preserve"> </w:t>
      </w:r>
    </w:p>
    <w:p w:rsidR="00EA1DF4" w:rsidRPr="006234FE" w:rsidRDefault="00EA1DF4" w:rsidP="00EA1DF4">
      <w:pPr>
        <w:tabs>
          <w:tab w:val="num" w:pos="720"/>
        </w:tabs>
        <w:rPr>
          <w:b/>
          <w:bCs/>
        </w:rPr>
      </w:pPr>
    </w:p>
    <w:p w:rsidR="00EA1DF4" w:rsidRDefault="00EA1DF4" w:rsidP="00EA1DF4">
      <w:pPr>
        <w:rPr>
          <w:b/>
          <w:bCs/>
        </w:rPr>
      </w:pPr>
      <w:r>
        <w:rPr>
          <w:b/>
          <w:bCs/>
        </w:rPr>
        <w:t>13.</w:t>
      </w:r>
      <w:r>
        <w:rPr>
          <w:b/>
          <w:bCs/>
        </w:rPr>
        <w:tab/>
      </w:r>
      <w:r w:rsidRPr="006234FE">
        <w:rPr>
          <w:b/>
          <w:bCs/>
        </w:rPr>
        <w:t>Member Comments</w:t>
      </w:r>
    </w:p>
    <w:p w:rsidR="00EA1DF4" w:rsidRDefault="00EA1DF4" w:rsidP="00EA1DF4">
      <w:pPr>
        <w:rPr>
          <w:b/>
          <w:bCs/>
        </w:rPr>
      </w:pPr>
    </w:p>
    <w:p w:rsidR="00EA1DF4" w:rsidRPr="00446DE0" w:rsidRDefault="00EA1DF4" w:rsidP="00EA1DF4">
      <w:pPr>
        <w:rPr>
          <w:b/>
          <w:bCs/>
        </w:rPr>
      </w:pPr>
      <w:r>
        <w:rPr>
          <w:b/>
          <w:bCs/>
        </w:rPr>
        <w:t>14.</w:t>
      </w:r>
      <w:r>
        <w:rPr>
          <w:b/>
          <w:bCs/>
        </w:rPr>
        <w:tab/>
        <w:t>Adjournment</w:t>
      </w:r>
      <w:r>
        <w:rPr>
          <w:bCs/>
        </w:rPr>
        <w:t xml:space="preserve">   The next scheduled BPAC Meeting is December 5, 2019</w:t>
      </w:r>
    </w:p>
    <w:p w:rsidR="00EA1DF4" w:rsidRDefault="00EA1DF4" w:rsidP="00EA1DF4">
      <w:pPr>
        <w:rPr>
          <w:b/>
          <w:bCs/>
        </w:rPr>
      </w:pPr>
      <w:r>
        <w:rPr>
          <w:bCs/>
        </w:rPr>
        <w:tab/>
      </w:r>
      <w:r>
        <w:rPr>
          <w:bCs/>
        </w:rPr>
        <w:tab/>
      </w:r>
      <w:r>
        <w:rPr>
          <w:bCs/>
        </w:rPr>
        <w:tab/>
      </w:r>
    </w:p>
    <w:p w:rsidR="00EA1DF4" w:rsidRPr="000C1135" w:rsidRDefault="00EA1DF4" w:rsidP="00EA1DF4">
      <w:pPr>
        <w:jc w:val="both"/>
        <w:rPr>
          <w:sz w:val="16"/>
          <w:szCs w:val="16"/>
        </w:rPr>
      </w:pPr>
      <w:r w:rsidRPr="000C1135">
        <w:rPr>
          <w:sz w:val="16"/>
          <w:szCs w:val="16"/>
        </w:rPr>
        <w:t>No stenographic record by a certified court reporter is made of these meetings. Accordingly, anyone seeking to appeal any decisions involving the matters herein will be responsible for making a verbatim record of the meeting/testimony and evidence upon which any appeal is to be based. (F.S. 286.0105)</w:t>
      </w:r>
    </w:p>
    <w:p w:rsidR="00EA1DF4" w:rsidRPr="000C1135" w:rsidRDefault="00EA1DF4" w:rsidP="00EA1DF4">
      <w:pPr>
        <w:jc w:val="both"/>
        <w:rPr>
          <w:sz w:val="16"/>
          <w:szCs w:val="16"/>
        </w:rPr>
      </w:pPr>
      <w:r w:rsidRPr="000C1135">
        <w:rPr>
          <w:sz w:val="16"/>
          <w:szCs w:val="16"/>
        </w:rPr>
        <w:tab/>
      </w:r>
    </w:p>
    <w:p w:rsidR="00EA1DF4" w:rsidRPr="000C1135" w:rsidRDefault="00EA1DF4" w:rsidP="00EA1DF4">
      <w:pPr>
        <w:jc w:val="both"/>
        <w:rPr>
          <w:sz w:val="16"/>
          <w:szCs w:val="16"/>
        </w:rPr>
      </w:pPr>
      <w:r w:rsidRPr="000C1135">
        <w:rPr>
          <w:sz w:val="16"/>
          <w:szCs w:val="16"/>
        </w:rPr>
        <w:t>IN ACCORDANCE WITH THE AMERICANS WITH DISABILITIES ACT AND CHAPTER 286.26 FLORIDA STATUTES, PERSONS NEEDING SPECIAL ACCOMMODATIONS TO PARTICIPATE IN THIS PROCEEDING SHOULD CONTACT THE CHARLOTTE COUNTY-PUNTA GORDA METROPOLITAN PLANNING ORGANIZATION AT LEAST FORTY-EIGHT (48) HOURS PRIOR TO THE MEETING. CALL (941) 883-3535 BETWEEN 8:00 A.M. AND 5:00 P.M., MONDAY THROUGH FRIDAY.</w:t>
      </w:r>
    </w:p>
    <w:p w:rsidR="00EA1DF4" w:rsidRPr="000C1135" w:rsidRDefault="00EA1DF4" w:rsidP="00EA1DF4">
      <w:pPr>
        <w:jc w:val="both"/>
        <w:rPr>
          <w:sz w:val="16"/>
          <w:szCs w:val="16"/>
        </w:rPr>
      </w:pPr>
    </w:p>
    <w:p w:rsidR="00EA1DF4" w:rsidRPr="000C1135" w:rsidRDefault="00EA1DF4" w:rsidP="00EA1DF4">
      <w:pPr>
        <w:jc w:val="both"/>
        <w:rPr>
          <w:sz w:val="16"/>
          <w:szCs w:val="16"/>
        </w:rPr>
      </w:pPr>
      <w:r w:rsidRPr="000C1135">
        <w:rPr>
          <w:sz w:val="16"/>
          <w:szCs w:val="16"/>
        </w:rPr>
        <w:t>The MPO’s planning process is conducted in accordance with Title VI of the Civil Rights Act of 1964 and related statutes.  Any person or beneficiary who believes he or she has been discriminated against because of race, color, religion, sex, age, national origin, disability, or familial status may file a complaint with the Charlotte County-Punta Gorda MPO Title VI Coordinator Wendy W. Scott at (941) 883-3535 or by writing her at 25550 Harbor View Road, Suite 4, Port Charlotte, FL  33980.</w:t>
      </w:r>
    </w:p>
    <w:p w:rsidR="00EA1DF4" w:rsidRPr="000C1135" w:rsidRDefault="00EA1DF4" w:rsidP="00EA1DF4">
      <w:pPr>
        <w:jc w:val="both"/>
        <w:rPr>
          <w:sz w:val="16"/>
          <w:szCs w:val="16"/>
        </w:rPr>
      </w:pPr>
    </w:p>
    <w:p w:rsidR="00EA1DF4" w:rsidRPr="000C1135" w:rsidRDefault="00EA1DF4" w:rsidP="00EA1DF4">
      <w:pPr>
        <w:jc w:val="both"/>
        <w:rPr>
          <w:sz w:val="16"/>
          <w:szCs w:val="16"/>
        </w:rPr>
      </w:pPr>
      <w:r w:rsidRPr="000C1135">
        <w:rPr>
          <w:sz w:val="16"/>
          <w:szCs w:val="16"/>
        </w:rPr>
        <w:t>CHARLOTTE COUNTY-PUNTA GORDA METROPOLITAN PLANNING ORGANIZATION</w:t>
      </w:r>
    </w:p>
    <w:p w:rsidR="008D3B05" w:rsidRDefault="00EA1DF4" w:rsidP="00EA1DF4">
      <w:pPr>
        <w:jc w:val="both"/>
      </w:pPr>
      <w:r w:rsidRPr="000C1135">
        <w:rPr>
          <w:sz w:val="16"/>
          <w:szCs w:val="16"/>
        </w:rPr>
        <w:t>25550 Harbor View Road, Suite 4, Port Charlotte, FL  33980-2503 Telephone: (941) 883-3535 Fax: (941) 883-3534</w:t>
      </w:r>
    </w:p>
    <w:sectPr w:rsidR="008D3B05" w:rsidSect="00EA1DF4">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C6B9C"/>
    <w:multiLevelType w:val="hybridMultilevel"/>
    <w:tmpl w:val="2A427BD6"/>
    <w:lvl w:ilvl="0" w:tplc="408E07B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1D43A0"/>
    <w:multiLevelType w:val="hybridMultilevel"/>
    <w:tmpl w:val="C18805DA"/>
    <w:lvl w:ilvl="0" w:tplc="DBAE23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F4"/>
    <w:rsid w:val="008D3B05"/>
    <w:rsid w:val="00A430CE"/>
    <w:rsid w:val="00AB1F88"/>
    <w:rsid w:val="00EA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F880D-37A7-470C-B93E-AAAD7201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D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DF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DF4"/>
    <w:rPr>
      <w:rFonts w:ascii="Times New Roman" w:eastAsia="Times New Roman" w:hAnsi="Times New Roman" w:cs="Times New Roman"/>
      <w:b/>
      <w:bCs/>
      <w:sz w:val="24"/>
      <w:szCs w:val="24"/>
    </w:rPr>
  </w:style>
  <w:style w:type="paragraph" w:styleId="Title">
    <w:name w:val="Title"/>
    <w:basedOn w:val="Normal"/>
    <w:link w:val="TitleChar"/>
    <w:qFormat/>
    <w:rsid w:val="00EA1DF4"/>
    <w:pPr>
      <w:jc w:val="center"/>
    </w:pPr>
    <w:rPr>
      <w:b/>
      <w:bCs/>
      <w:u w:val="single"/>
    </w:rPr>
  </w:style>
  <w:style w:type="character" w:customStyle="1" w:styleId="TitleChar">
    <w:name w:val="Title Char"/>
    <w:basedOn w:val="DefaultParagraphFont"/>
    <w:link w:val="Title"/>
    <w:rsid w:val="00EA1DF4"/>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EA1DF4"/>
    <w:pPr>
      <w:jc w:val="center"/>
    </w:pPr>
    <w:rPr>
      <w:b/>
      <w:bCs/>
    </w:rPr>
  </w:style>
  <w:style w:type="character" w:customStyle="1" w:styleId="SubtitleChar">
    <w:name w:val="Subtitle Char"/>
    <w:basedOn w:val="DefaultParagraphFont"/>
    <w:link w:val="Subtitle"/>
    <w:rsid w:val="00EA1DF4"/>
    <w:rPr>
      <w:rFonts w:ascii="Times New Roman" w:eastAsia="Times New Roman" w:hAnsi="Times New Roman" w:cs="Times New Roman"/>
      <w:b/>
      <w:bCs/>
      <w:sz w:val="24"/>
      <w:szCs w:val="24"/>
    </w:rPr>
  </w:style>
  <w:style w:type="paragraph" w:styleId="ListParagraph">
    <w:name w:val="List Paragraph"/>
    <w:basedOn w:val="Normal"/>
    <w:uiPriority w:val="34"/>
    <w:qFormat/>
    <w:rsid w:val="00EA1DF4"/>
    <w:pPr>
      <w:ind w:left="720"/>
    </w:pPr>
  </w:style>
  <w:style w:type="character" w:styleId="Hyperlink">
    <w:name w:val="Hyperlink"/>
    <w:basedOn w:val="DefaultParagraphFont"/>
    <w:uiPriority w:val="99"/>
    <w:unhideWhenUsed/>
    <w:rsid w:val="00A430CE"/>
    <w:rPr>
      <w:color w:val="0563C1" w:themeColor="hyperlink"/>
      <w:u w:val="single"/>
    </w:rPr>
  </w:style>
  <w:style w:type="character" w:styleId="UnresolvedMention">
    <w:name w:val="Unresolved Mention"/>
    <w:basedOn w:val="DefaultParagraphFont"/>
    <w:uiPriority w:val="99"/>
    <w:semiHidden/>
    <w:unhideWhenUsed/>
    <w:rsid w:val="00A430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mpo.com/wp/wp-content/uploads/2019/10/6_agendaLLRTP.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mpo.com/wp/wp-content/uploads/2019/10/5_agendaSun-Trail.docx" TargetMode="External"/><Relationship Id="rId12" Type="http://schemas.openxmlformats.org/officeDocument/2006/relationships/hyperlink" Target="https://ccmpo.com/wp/wp-content/uploads/2019/10/10agendaitem_Sheriffs-Repor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mpo.com/wp/wp-content/uploads/2019/10/4B-agenda-calendar20.docx" TargetMode="External"/><Relationship Id="rId11" Type="http://schemas.openxmlformats.org/officeDocument/2006/relationships/hyperlink" Target="https://ccmpo.com/wp/wp-content/uploads/2019/10/9agendaitem_City-of-Punta-Gorda-Report.docx" TargetMode="External"/><Relationship Id="rId5" Type="http://schemas.openxmlformats.org/officeDocument/2006/relationships/hyperlink" Target="https://ccmpo.com/wp/wp-content/uploads/2019/10/4_agendaMinutesitem.docx" TargetMode="External"/><Relationship Id="rId10" Type="http://schemas.openxmlformats.org/officeDocument/2006/relationships/hyperlink" Target="https://ccmpo.com/wp/wp-content/uploads/2019/10/8agendaitem_CharlotteCounty-Report.docx" TargetMode="External"/><Relationship Id="rId4" Type="http://schemas.openxmlformats.org/officeDocument/2006/relationships/webSettings" Target="webSettings.xml"/><Relationship Id="rId9" Type="http://schemas.openxmlformats.org/officeDocument/2006/relationships/hyperlink" Target="https://ccmpo.com/wp/wp-content/uploads/2019/10/7agendaitem_FDOT-Bike-Coordinator-Repor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Bekie</dc:creator>
  <cp:keywords/>
  <dc:description/>
  <cp:lastModifiedBy>Edara, Sai</cp:lastModifiedBy>
  <cp:revision>3</cp:revision>
  <dcterms:created xsi:type="dcterms:W3CDTF">2019-10-03T15:07:00Z</dcterms:created>
  <dcterms:modified xsi:type="dcterms:W3CDTF">2019-10-03T19:44:00Z</dcterms:modified>
</cp:coreProperties>
</file>